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1A5" w:rsidRDefault="008E1930" w:rsidP="00076F43">
      <w:pPr>
        <w:spacing w:after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BAB I</w:t>
      </w:r>
      <w:r w:rsidR="000C6172">
        <w:rPr>
          <w:b/>
          <w:sz w:val="28"/>
          <w:szCs w:val="28"/>
        </w:rPr>
        <w:t>I</w:t>
      </w:r>
      <w:r w:rsidR="00F1640E">
        <w:rPr>
          <w:b/>
          <w:sz w:val="28"/>
          <w:szCs w:val="28"/>
        </w:rPr>
        <w:t xml:space="preserve">I </w:t>
      </w:r>
      <w:r w:rsidR="009E108F">
        <w:rPr>
          <w:b/>
          <w:sz w:val="28"/>
          <w:szCs w:val="28"/>
        </w:rPr>
        <w:t>RENCANA PENGEMBANGAN</w:t>
      </w:r>
    </w:p>
    <w:p w:rsidR="005E31A5" w:rsidRPr="00D7123D" w:rsidRDefault="00B2390C" w:rsidP="00076F43">
      <w:pPr>
        <w:pStyle w:val="ListParagraph"/>
        <w:numPr>
          <w:ilvl w:val="0"/>
          <w:numId w:val="9"/>
        </w:numPr>
        <w:spacing w:after="0" w:line="360" w:lineRule="auto"/>
        <w:ind w:left="426" w:hanging="426"/>
        <w:jc w:val="both"/>
        <w:rPr>
          <w:b/>
          <w:i/>
          <w:u w:val="single"/>
        </w:rPr>
      </w:pPr>
      <w:r>
        <w:rPr>
          <w:b/>
          <w:i/>
          <w:u w:val="single"/>
        </w:rPr>
        <w:t>KELISTRIKAN</w:t>
      </w:r>
    </w:p>
    <w:p w:rsidR="0088297B" w:rsidRPr="0044402E" w:rsidRDefault="0088297B" w:rsidP="00076F43">
      <w:pPr>
        <w:pStyle w:val="ListParagraph"/>
        <w:spacing w:after="0" w:line="360" w:lineRule="auto"/>
        <w:jc w:val="both"/>
        <w:rPr>
          <w:rFonts w:cstheme="minorHAnsi"/>
        </w:rPr>
      </w:pPr>
    </w:p>
    <w:p w:rsidR="004D6EAC" w:rsidRDefault="005B1AEB" w:rsidP="00076F43">
      <w:pPr>
        <w:spacing w:after="0" w:line="360" w:lineRule="auto"/>
        <w:jc w:val="both"/>
      </w:pPr>
      <w:r>
        <w:t>Untuk mencapai</w:t>
      </w:r>
      <w:r w:rsidR="009E108F">
        <w:t xml:space="preserve"> target </w:t>
      </w:r>
      <w:r w:rsidR="00B2390C">
        <w:t xml:space="preserve">Jambi TUNTAS </w:t>
      </w:r>
      <w:r w:rsidR="009E108F">
        <w:t>R</w:t>
      </w:r>
      <w:r w:rsidR="00B2390C">
        <w:t xml:space="preserve">asio Elektrifikasi 96 % pada tahun 2021 </w:t>
      </w:r>
      <w:r w:rsidR="009E108F">
        <w:t xml:space="preserve">diperlukan koordinasi </w:t>
      </w:r>
      <w:r w:rsidR="00B2390C">
        <w:t xml:space="preserve">yang baik </w:t>
      </w:r>
      <w:r w:rsidR="009E108F">
        <w:t>dengan pihak PLN, baik untuk penambahan kapasitas pembangkit, pengaturan tegangan dan jangkauan jaringan ke pelosok-pelosok daerah Provinsi Jambi</w:t>
      </w:r>
      <w:r w:rsidR="00B2390C">
        <w:t xml:space="preserve">. </w:t>
      </w:r>
    </w:p>
    <w:p w:rsidR="004D6EAC" w:rsidRDefault="004D6EAC" w:rsidP="00076F43">
      <w:pPr>
        <w:spacing w:after="0" w:line="360" w:lineRule="auto"/>
        <w:jc w:val="both"/>
      </w:pPr>
    </w:p>
    <w:p w:rsidR="004D6EAC" w:rsidRDefault="004D6EAC" w:rsidP="00076F43">
      <w:pPr>
        <w:spacing w:after="0" w:line="360" w:lineRule="auto"/>
        <w:jc w:val="both"/>
      </w:pPr>
      <w:r>
        <w:t>Hal lain yang dapat dilakukan Dinas ESDM untuk mempecepat pencapaian target RE sebagai berikut :</w:t>
      </w:r>
    </w:p>
    <w:p w:rsidR="004D6EAC" w:rsidRDefault="00B2390C" w:rsidP="00076F43">
      <w:pPr>
        <w:pStyle w:val="ListParagraph"/>
        <w:numPr>
          <w:ilvl w:val="0"/>
          <w:numId w:val="15"/>
        </w:numPr>
        <w:spacing w:after="0" w:line="360" w:lineRule="auto"/>
        <w:jc w:val="both"/>
      </w:pPr>
      <w:r>
        <w:t>Untuk daerah-daerah yang belum akan masuk listrik PLN</w:t>
      </w:r>
      <w:r w:rsidR="004D6EAC">
        <w:t>/cukup jauh dari jaringan PLN</w:t>
      </w:r>
      <w:r>
        <w:t>, Dinas ESDM Provinsi Jambi akan memanfaatkan potensi energi setempat untuk digunakan sebagai Pembangkit Listr</w:t>
      </w:r>
      <w:r w:rsidR="005B1AEB">
        <w:t>ik, antara lain arus air untuk</w:t>
      </w:r>
      <w:r>
        <w:t xml:space="preserve"> PLTMH atau tenaga sinar matahari </w:t>
      </w:r>
      <w:r w:rsidR="005B1AEB">
        <w:t>untuk</w:t>
      </w:r>
      <w:r>
        <w:t xml:space="preserve"> PLTS. </w:t>
      </w:r>
    </w:p>
    <w:p w:rsidR="004D6EAC" w:rsidRDefault="005B1AEB" w:rsidP="00076F43">
      <w:pPr>
        <w:pStyle w:val="ListParagraph"/>
        <w:numPr>
          <w:ilvl w:val="0"/>
          <w:numId w:val="15"/>
        </w:numPr>
        <w:spacing w:after="0" w:line="360" w:lineRule="auto"/>
        <w:jc w:val="both"/>
      </w:pPr>
      <w:r>
        <w:t>Ikut membangun</w:t>
      </w:r>
      <w:r w:rsidR="004D6EAC">
        <w:t xml:space="preserve"> jaringan</w:t>
      </w:r>
      <w:r>
        <w:t xml:space="preserve"> listrik</w:t>
      </w:r>
      <w:r w:rsidR="004D6EAC">
        <w:t xml:space="preserve">, </w:t>
      </w:r>
      <w:r>
        <w:t>khususnya menyambungkan Jaringan</w:t>
      </w:r>
      <w:r w:rsidR="004D6EAC">
        <w:t xml:space="preserve"> Tegangan Rendah dan Sambungan Rumah pada lokasi-lokasi yang </w:t>
      </w:r>
      <w:r>
        <w:t>telah tersedia J</w:t>
      </w:r>
      <w:r w:rsidR="004D6EAC">
        <w:t xml:space="preserve">aringan </w:t>
      </w:r>
      <w:r>
        <w:t xml:space="preserve">Tegangan Menengah </w:t>
      </w:r>
      <w:r w:rsidR="004D6EAC">
        <w:t>PLN</w:t>
      </w:r>
      <w:r>
        <w:t>.</w:t>
      </w:r>
    </w:p>
    <w:p w:rsidR="004D6EAC" w:rsidRDefault="004D6EAC" w:rsidP="004D6EAC">
      <w:pPr>
        <w:spacing w:after="0" w:line="360" w:lineRule="auto"/>
        <w:ind w:left="360"/>
        <w:jc w:val="both"/>
      </w:pPr>
    </w:p>
    <w:p w:rsidR="009E108F" w:rsidRDefault="00515A1D" w:rsidP="004D6EAC">
      <w:pPr>
        <w:spacing w:after="0" w:line="360" w:lineRule="auto"/>
        <w:jc w:val="both"/>
      </w:pPr>
      <w:r>
        <w:t xml:space="preserve">Untuk pencapaian </w:t>
      </w:r>
      <w:r w:rsidR="004D6EAC">
        <w:t>Hal</w:t>
      </w:r>
      <w:r>
        <w:t xml:space="preserve">-hal diatas Dinas ESDM selain mengandalkan </w:t>
      </w:r>
      <w:r w:rsidR="004D6EAC">
        <w:t>pendanaan dari APBD Provinsi Jambi</w:t>
      </w:r>
      <w:r>
        <w:t xml:space="preserve">, Dinas ESDM juga harus untuk mengejar pendanaan dari </w:t>
      </w:r>
      <w:r w:rsidR="00F05911">
        <w:t>Pemerintah Pusat dan pihak swasta</w:t>
      </w:r>
      <w:r w:rsidR="00B2390C">
        <w:t xml:space="preserve">. </w:t>
      </w:r>
    </w:p>
    <w:p w:rsidR="00DD7DE3" w:rsidRDefault="00DD7DE3" w:rsidP="004D6EAC">
      <w:pPr>
        <w:spacing w:after="0" w:line="360" w:lineRule="auto"/>
        <w:jc w:val="both"/>
      </w:pPr>
      <w:r>
        <w:lastRenderedPageBreak/>
        <w:t>Pembangunan Jaringan Listrik</w:t>
      </w:r>
      <w:r w:rsidR="00887671">
        <w:t>, PLTS Terpusat</w:t>
      </w:r>
      <w:r>
        <w:t xml:space="preserve"> </w:t>
      </w:r>
      <w:r w:rsidR="00887671">
        <w:t xml:space="preserve">dan PLTMH </w:t>
      </w:r>
      <w:r>
        <w:t>yang dilakukan Dinas ESDM Provinsi Jambi</w:t>
      </w:r>
    </w:p>
    <w:p w:rsidR="00726B04" w:rsidRPr="00726B04" w:rsidRDefault="00726B04" w:rsidP="00726B04">
      <w:pPr>
        <w:spacing w:after="0" w:line="360" w:lineRule="auto"/>
        <w:jc w:val="both"/>
        <w:rPr>
          <w:b/>
          <w:i/>
          <w:u w:val="single"/>
        </w:rPr>
      </w:pPr>
      <w:bookmarkStart w:id="0" w:name="_GoBack"/>
      <w:bookmarkEnd w:id="0"/>
    </w:p>
    <w:p w:rsidR="004D6EAC" w:rsidRPr="00D7123D" w:rsidRDefault="004D6EAC" w:rsidP="004D6EAC">
      <w:pPr>
        <w:pStyle w:val="ListParagraph"/>
        <w:numPr>
          <w:ilvl w:val="0"/>
          <w:numId w:val="9"/>
        </w:numPr>
        <w:spacing w:after="0" w:line="360" w:lineRule="auto"/>
        <w:ind w:left="426" w:hanging="426"/>
        <w:jc w:val="both"/>
        <w:rPr>
          <w:b/>
          <w:i/>
          <w:u w:val="single"/>
        </w:rPr>
      </w:pPr>
      <w:r>
        <w:rPr>
          <w:b/>
          <w:i/>
          <w:u w:val="single"/>
        </w:rPr>
        <w:t>PEMANFAATAN ENERGI</w:t>
      </w:r>
    </w:p>
    <w:p w:rsidR="00A72967" w:rsidRDefault="00A72967" w:rsidP="00076F43">
      <w:pPr>
        <w:spacing w:after="0" w:line="360" w:lineRule="auto"/>
        <w:jc w:val="both"/>
      </w:pPr>
    </w:p>
    <w:p w:rsidR="00A7656F" w:rsidRDefault="00A72967" w:rsidP="00076F43">
      <w:pPr>
        <w:spacing w:after="0" w:line="360" w:lineRule="auto"/>
        <w:jc w:val="both"/>
        <w:rPr>
          <w:rFonts w:cstheme="minorHAnsi"/>
        </w:rPr>
      </w:pPr>
      <w:r w:rsidRPr="00A72967">
        <w:rPr>
          <w:rFonts w:cstheme="minorHAnsi"/>
        </w:rPr>
        <w:t xml:space="preserve">Dinas ESDM </w:t>
      </w:r>
      <w:r w:rsidR="004D6EAC">
        <w:rPr>
          <w:rFonts w:cstheme="minorHAnsi"/>
        </w:rPr>
        <w:t xml:space="preserve">berkomitmen </w:t>
      </w:r>
      <w:r w:rsidR="00626DF8">
        <w:rPr>
          <w:rFonts w:cstheme="minorHAnsi"/>
        </w:rPr>
        <w:t xml:space="preserve">membantu Pemerintah Pusat </w:t>
      </w:r>
      <w:r w:rsidR="004D6EAC">
        <w:rPr>
          <w:rFonts w:cstheme="minorHAnsi"/>
        </w:rPr>
        <w:t>untuk meningkatkan pemanfaatan Energi Baru Terbarukan (EBT)</w:t>
      </w:r>
      <w:r w:rsidR="00A7656F">
        <w:rPr>
          <w:rFonts w:cstheme="minorHAnsi"/>
        </w:rPr>
        <w:t xml:space="preserve"> dan mengurangi pemanfaatan Energi Non EBT (fosil)</w:t>
      </w:r>
      <w:r w:rsidR="004D6EAC">
        <w:rPr>
          <w:rFonts w:cstheme="minorHAnsi"/>
        </w:rPr>
        <w:t xml:space="preserve"> pada bauran energi nasional (energy mix)</w:t>
      </w:r>
      <w:r w:rsidR="00A7656F">
        <w:rPr>
          <w:rFonts w:cstheme="minorHAnsi"/>
        </w:rPr>
        <w:t xml:space="preserve"> dari semula pada tahun 2015 sebesar 5% EBT dan 95% Non EBT menjadi 23% EBT dan 77% Non EBT pada tahun 2025.</w:t>
      </w:r>
    </w:p>
    <w:p w:rsidR="00A7656F" w:rsidRDefault="00A7656F" w:rsidP="00076F43">
      <w:pPr>
        <w:spacing w:after="0" w:line="360" w:lineRule="auto"/>
        <w:jc w:val="both"/>
        <w:rPr>
          <w:rFonts w:cstheme="minorHAnsi"/>
        </w:rPr>
      </w:pPr>
    </w:p>
    <w:p w:rsidR="00F0228D" w:rsidRDefault="00A7656F" w:rsidP="00076F43">
      <w:p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Komitmen tersebut selain melalui pembangunan pembangkit-pembangkit listrik dari sumber EBT, Dinas ESDM </w:t>
      </w:r>
      <w:r w:rsidR="00A72967" w:rsidRPr="00A72967">
        <w:rPr>
          <w:rFonts w:cstheme="minorHAnsi"/>
        </w:rPr>
        <w:t>j</w:t>
      </w:r>
      <w:r>
        <w:rPr>
          <w:rFonts w:cstheme="minorHAnsi"/>
        </w:rPr>
        <w:t>uga menggalakkan pembangunan Di</w:t>
      </w:r>
      <w:r w:rsidR="00A72967" w:rsidRPr="00A72967">
        <w:rPr>
          <w:rFonts w:cstheme="minorHAnsi"/>
        </w:rPr>
        <w:t>ge</w:t>
      </w:r>
      <w:r>
        <w:rPr>
          <w:rFonts w:cstheme="minorHAnsi"/>
        </w:rPr>
        <w:t>s</w:t>
      </w:r>
      <w:r w:rsidR="00A72967" w:rsidRPr="00A72967">
        <w:rPr>
          <w:rFonts w:cstheme="minorHAnsi"/>
        </w:rPr>
        <w:t xml:space="preserve">ter Biogas sebagai bahan bakar memasak rumah tangga. Hal ini dapat mengurangi ketergantungan kita terhadap </w:t>
      </w:r>
      <w:r>
        <w:rPr>
          <w:rFonts w:cstheme="minorHAnsi"/>
        </w:rPr>
        <w:t>minyak dan gas bumi</w:t>
      </w:r>
      <w:r w:rsidR="001E43A0">
        <w:rPr>
          <w:rFonts w:cstheme="minorHAnsi"/>
        </w:rPr>
        <w:t xml:space="preserve"> (energi fosil)</w:t>
      </w:r>
      <w:r>
        <w:rPr>
          <w:rFonts w:cstheme="minorHAnsi"/>
        </w:rPr>
        <w:t xml:space="preserve"> dari memasak.</w:t>
      </w:r>
      <w:r w:rsidR="00A72967" w:rsidRPr="00A72967">
        <w:rPr>
          <w:rFonts w:cstheme="minorHAnsi"/>
        </w:rPr>
        <w:t xml:space="preserve"> </w:t>
      </w:r>
    </w:p>
    <w:p w:rsidR="00424B2B" w:rsidRDefault="00424B2B" w:rsidP="00076F43">
      <w:pPr>
        <w:spacing w:after="0" w:line="360" w:lineRule="auto"/>
        <w:jc w:val="both"/>
        <w:rPr>
          <w:rFonts w:cstheme="minorHAnsi"/>
        </w:rPr>
      </w:pPr>
    </w:p>
    <w:p w:rsidR="002B1504" w:rsidRPr="00D7123D" w:rsidRDefault="002B1504" w:rsidP="00076F43">
      <w:pPr>
        <w:pStyle w:val="ListParagraph"/>
        <w:numPr>
          <w:ilvl w:val="0"/>
          <w:numId w:val="9"/>
        </w:numPr>
        <w:spacing w:after="0" w:line="360" w:lineRule="auto"/>
        <w:ind w:left="426" w:hanging="426"/>
        <w:jc w:val="both"/>
        <w:rPr>
          <w:rFonts w:cstheme="minorHAnsi"/>
          <w:b/>
          <w:i/>
          <w:u w:val="single"/>
        </w:rPr>
      </w:pPr>
      <w:r w:rsidRPr="00D7123D">
        <w:rPr>
          <w:rFonts w:cstheme="minorHAnsi"/>
          <w:b/>
          <w:i/>
          <w:u w:val="single"/>
        </w:rPr>
        <w:t>PERTAMBANGAN</w:t>
      </w:r>
    </w:p>
    <w:p w:rsidR="001E43A0" w:rsidRDefault="001E43A0" w:rsidP="00076F43">
      <w:pPr>
        <w:spacing w:after="0" w:line="360" w:lineRule="auto"/>
        <w:jc w:val="both"/>
        <w:rPr>
          <w:rFonts w:cstheme="minorHAnsi"/>
        </w:rPr>
      </w:pPr>
    </w:p>
    <w:p w:rsidR="00093C42" w:rsidRDefault="00853D4C" w:rsidP="00076F43">
      <w:p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Indikator yang harus dicapai dari sektor pertambangan adalah </w:t>
      </w:r>
      <w:r w:rsidR="001E43A0" w:rsidRPr="00853D4C">
        <w:rPr>
          <w:rFonts w:cstheme="minorHAnsi"/>
          <w:i/>
        </w:rPr>
        <w:t>Good Mining Practice</w:t>
      </w:r>
      <w:r w:rsidR="009E1F76">
        <w:rPr>
          <w:rFonts w:cstheme="minorHAnsi"/>
          <w:i/>
        </w:rPr>
        <w:t xml:space="preserve">, </w:t>
      </w:r>
      <w:r w:rsidR="009E1F76" w:rsidRPr="00C952AD">
        <w:rPr>
          <w:rFonts w:cstheme="minorHAnsi"/>
        </w:rPr>
        <w:t xml:space="preserve">dimana </w:t>
      </w:r>
      <w:r w:rsidR="005B1AEB">
        <w:rPr>
          <w:rFonts w:cstheme="minorHAnsi"/>
        </w:rPr>
        <w:t xml:space="preserve">untuk mencapai </w:t>
      </w:r>
      <w:r w:rsidR="005B1AEB" w:rsidRPr="005B1AEB">
        <w:rPr>
          <w:rFonts w:cstheme="minorHAnsi"/>
          <w:i/>
        </w:rPr>
        <w:t>Good Mining Practice</w:t>
      </w:r>
      <w:r w:rsidR="005B1AEB">
        <w:rPr>
          <w:rFonts w:cstheme="minorHAnsi"/>
        </w:rPr>
        <w:t xml:space="preserve"> tersebut </w:t>
      </w:r>
      <w:r w:rsidR="009E1F76" w:rsidRPr="00C952AD">
        <w:rPr>
          <w:rFonts w:cstheme="minorHAnsi"/>
        </w:rPr>
        <w:t xml:space="preserve">pelaksanan kegiatan usaha pertambangan harus melaksanakan 15 aspek pengawasan </w:t>
      </w:r>
      <w:r w:rsidR="00C952AD" w:rsidRPr="00C952AD">
        <w:rPr>
          <w:rFonts w:cstheme="minorHAnsi"/>
        </w:rPr>
        <w:lastRenderedPageBreak/>
        <w:t>s</w:t>
      </w:r>
      <w:r w:rsidR="001F781E" w:rsidRPr="00C952AD">
        <w:rPr>
          <w:rFonts w:cstheme="minorHAnsi"/>
        </w:rPr>
        <w:t>e</w:t>
      </w:r>
      <w:r w:rsidR="001F781E" w:rsidRPr="00F17887">
        <w:rPr>
          <w:rFonts w:cstheme="minorHAnsi"/>
        </w:rPr>
        <w:t>suai dengan Undang-undang Nomor 4 Tahun 2009 tentang Pertambangan Minerba</w:t>
      </w:r>
      <w:r w:rsidR="009E1F76">
        <w:rPr>
          <w:rFonts w:cstheme="minorHAnsi"/>
        </w:rPr>
        <w:t xml:space="preserve">. </w:t>
      </w:r>
      <w:r w:rsidR="006332B3">
        <w:rPr>
          <w:rFonts w:cstheme="minorHAnsi"/>
        </w:rPr>
        <w:t>15 aspek pengawasan tersebut antara lain :</w:t>
      </w:r>
    </w:p>
    <w:p w:rsidR="006332B3" w:rsidRPr="006332B3" w:rsidRDefault="006332B3" w:rsidP="006332B3">
      <w:pPr>
        <w:spacing w:after="0" w:line="360" w:lineRule="auto"/>
        <w:ind w:left="709" w:hanging="283"/>
        <w:jc w:val="both"/>
        <w:rPr>
          <w:rFonts w:cstheme="minorHAnsi"/>
        </w:rPr>
      </w:pPr>
      <w:r w:rsidRPr="006332B3">
        <w:rPr>
          <w:rFonts w:cstheme="minorHAnsi"/>
        </w:rPr>
        <w:t>1.</w:t>
      </w:r>
      <w:r w:rsidRPr="006332B3">
        <w:rPr>
          <w:rFonts w:cstheme="minorHAnsi"/>
        </w:rPr>
        <w:tab/>
        <w:t>teknis pertambangan;</w:t>
      </w:r>
    </w:p>
    <w:p w:rsidR="006332B3" w:rsidRPr="006332B3" w:rsidRDefault="006332B3" w:rsidP="006332B3">
      <w:pPr>
        <w:spacing w:after="0" w:line="360" w:lineRule="auto"/>
        <w:ind w:left="709" w:hanging="283"/>
        <w:jc w:val="both"/>
        <w:rPr>
          <w:rFonts w:cstheme="minorHAnsi"/>
        </w:rPr>
      </w:pPr>
      <w:r w:rsidRPr="006332B3">
        <w:rPr>
          <w:rFonts w:cstheme="minorHAnsi"/>
        </w:rPr>
        <w:t>2.</w:t>
      </w:r>
      <w:r w:rsidRPr="006332B3">
        <w:rPr>
          <w:rFonts w:cstheme="minorHAnsi"/>
        </w:rPr>
        <w:tab/>
        <w:t>pemasaran;</w:t>
      </w:r>
    </w:p>
    <w:p w:rsidR="006332B3" w:rsidRPr="006332B3" w:rsidRDefault="006332B3" w:rsidP="006332B3">
      <w:pPr>
        <w:spacing w:after="0" w:line="360" w:lineRule="auto"/>
        <w:ind w:left="709" w:hanging="283"/>
        <w:jc w:val="both"/>
        <w:rPr>
          <w:rFonts w:cstheme="minorHAnsi"/>
        </w:rPr>
      </w:pPr>
      <w:r w:rsidRPr="006332B3">
        <w:rPr>
          <w:rFonts w:cstheme="minorHAnsi"/>
        </w:rPr>
        <w:t>3.</w:t>
      </w:r>
      <w:r w:rsidRPr="006332B3">
        <w:rPr>
          <w:rFonts w:cstheme="minorHAnsi"/>
        </w:rPr>
        <w:tab/>
        <w:t>keuangan;</w:t>
      </w:r>
    </w:p>
    <w:p w:rsidR="006332B3" w:rsidRPr="006332B3" w:rsidRDefault="006332B3" w:rsidP="006332B3">
      <w:pPr>
        <w:spacing w:after="0" w:line="360" w:lineRule="auto"/>
        <w:ind w:left="709" w:hanging="283"/>
        <w:jc w:val="both"/>
        <w:rPr>
          <w:rFonts w:cstheme="minorHAnsi"/>
        </w:rPr>
      </w:pPr>
      <w:r w:rsidRPr="006332B3">
        <w:rPr>
          <w:rFonts w:cstheme="minorHAnsi"/>
        </w:rPr>
        <w:t>4.</w:t>
      </w:r>
      <w:r w:rsidRPr="006332B3">
        <w:rPr>
          <w:rFonts w:cstheme="minorHAnsi"/>
        </w:rPr>
        <w:tab/>
        <w:t>pengolahan data mineral dan batubara;</w:t>
      </w:r>
    </w:p>
    <w:p w:rsidR="006332B3" w:rsidRPr="006332B3" w:rsidRDefault="006332B3" w:rsidP="006332B3">
      <w:pPr>
        <w:spacing w:after="0" w:line="360" w:lineRule="auto"/>
        <w:ind w:left="709" w:hanging="283"/>
        <w:jc w:val="both"/>
        <w:rPr>
          <w:rFonts w:cstheme="minorHAnsi"/>
        </w:rPr>
      </w:pPr>
      <w:r w:rsidRPr="006332B3">
        <w:rPr>
          <w:rFonts w:cstheme="minorHAnsi"/>
        </w:rPr>
        <w:t>5.</w:t>
      </w:r>
      <w:r w:rsidRPr="006332B3">
        <w:rPr>
          <w:rFonts w:cstheme="minorHAnsi"/>
        </w:rPr>
        <w:tab/>
        <w:t>konservasi sumber daya mineral dan batubara;</w:t>
      </w:r>
    </w:p>
    <w:p w:rsidR="006332B3" w:rsidRPr="006332B3" w:rsidRDefault="006332B3" w:rsidP="006332B3">
      <w:pPr>
        <w:spacing w:after="0" w:line="360" w:lineRule="auto"/>
        <w:ind w:left="709" w:hanging="283"/>
        <w:jc w:val="both"/>
        <w:rPr>
          <w:rFonts w:cstheme="minorHAnsi"/>
        </w:rPr>
      </w:pPr>
      <w:r w:rsidRPr="006332B3">
        <w:rPr>
          <w:rFonts w:cstheme="minorHAnsi"/>
        </w:rPr>
        <w:t>6.</w:t>
      </w:r>
      <w:r w:rsidRPr="006332B3">
        <w:rPr>
          <w:rFonts w:cstheme="minorHAnsi"/>
        </w:rPr>
        <w:tab/>
        <w:t>keselamatan dan kesehatan kerja pertambangan;</w:t>
      </w:r>
    </w:p>
    <w:p w:rsidR="006332B3" w:rsidRPr="006332B3" w:rsidRDefault="006332B3" w:rsidP="006332B3">
      <w:pPr>
        <w:spacing w:after="0" w:line="360" w:lineRule="auto"/>
        <w:ind w:left="709" w:hanging="283"/>
        <w:jc w:val="both"/>
        <w:rPr>
          <w:rFonts w:cstheme="minorHAnsi"/>
        </w:rPr>
      </w:pPr>
      <w:r w:rsidRPr="006332B3">
        <w:rPr>
          <w:rFonts w:cstheme="minorHAnsi"/>
        </w:rPr>
        <w:t>7.</w:t>
      </w:r>
      <w:r w:rsidRPr="006332B3">
        <w:rPr>
          <w:rFonts w:cstheme="minorHAnsi"/>
        </w:rPr>
        <w:tab/>
        <w:t>keselamatan operasi pertambangan;</w:t>
      </w:r>
    </w:p>
    <w:p w:rsidR="006332B3" w:rsidRPr="006332B3" w:rsidRDefault="006332B3" w:rsidP="006332B3">
      <w:pPr>
        <w:spacing w:after="0" w:line="360" w:lineRule="auto"/>
        <w:ind w:left="709" w:hanging="283"/>
        <w:jc w:val="both"/>
        <w:rPr>
          <w:rFonts w:cstheme="minorHAnsi"/>
        </w:rPr>
      </w:pPr>
      <w:r w:rsidRPr="006332B3">
        <w:rPr>
          <w:rFonts w:cstheme="minorHAnsi"/>
        </w:rPr>
        <w:t>8.</w:t>
      </w:r>
      <w:r w:rsidRPr="006332B3">
        <w:rPr>
          <w:rFonts w:cstheme="minorHAnsi"/>
        </w:rPr>
        <w:tab/>
        <w:t>pengelolaan lingkungan hidup, reklamasi, dan pascatambang;</w:t>
      </w:r>
    </w:p>
    <w:p w:rsidR="006332B3" w:rsidRPr="006332B3" w:rsidRDefault="006332B3" w:rsidP="006332B3">
      <w:pPr>
        <w:spacing w:after="0" w:line="360" w:lineRule="auto"/>
        <w:ind w:left="709" w:hanging="283"/>
        <w:jc w:val="both"/>
        <w:rPr>
          <w:rFonts w:cstheme="minorHAnsi"/>
        </w:rPr>
      </w:pPr>
      <w:r w:rsidRPr="006332B3">
        <w:rPr>
          <w:rFonts w:cstheme="minorHAnsi"/>
        </w:rPr>
        <w:t>9.</w:t>
      </w:r>
      <w:r w:rsidRPr="006332B3">
        <w:rPr>
          <w:rFonts w:cstheme="minorHAnsi"/>
        </w:rPr>
        <w:tab/>
        <w:t>pemanfaatan barang, jasa, teknologi, dan kemampuan rekayasa dan rancang bangun dalam negeri;</w:t>
      </w:r>
    </w:p>
    <w:p w:rsidR="006332B3" w:rsidRPr="006332B3" w:rsidRDefault="006332B3" w:rsidP="006332B3">
      <w:pPr>
        <w:spacing w:after="0" w:line="360" w:lineRule="auto"/>
        <w:ind w:left="709" w:hanging="283"/>
        <w:jc w:val="both"/>
        <w:rPr>
          <w:rFonts w:cstheme="minorHAnsi"/>
        </w:rPr>
      </w:pPr>
      <w:r w:rsidRPr="006332B3">
        <w:rPr>
          <w:rFonts w:cstheme="minorHAnsi"/>
        </w:rPr>
        <w:t>10.</w:t>
      </w:r>
      <w:r w:rsidRPr="006332B3">
        <w:rPr>
          <w:rFonts w:cstheme="minorHAnsi"/>
        </w:rPr>
        <w:tab/>
        <w:t>pengembangan tenaga kerja teknis pertambangan;</w:t>
      </w:r>
    </w:p>
    <w:p w:rsidR="006332B3" w:rsidRPr="006332B3" w:rsidRDefault="006332B3" w:rsidP="006332B3">
      <w:pPr>
        <w:spacing w:after="0" w:line="360" w:lineRule="auto"/>
        <w:ind w:left="709" w:hanging="283"/>
        <w:jc w:val="both"/>
        <w:rPr>
          <w:rFonts w:cstheme="minorHAnsi"/>
        </w:rPr>
      </w:pPr>
      <w:r w:rsidRPr="006332B3">
        <w:rPr>
          <w:rFonts w:cstheme="minorHAnsi"/>
        </w:rPr>
        <w:t>11.</w:t>
      </w:r>
      <w:r w:rsidRPr="006332B3">
        <w:rPr>
          <w:rFonts w:cstheme="minorHAnsi"/>
        </w:rPr>
        <w:tab/>
        <w:t>pengembangan dan pemberdayaan masyarakat setempat;</w:t>
      </w:r>
    </w:p>
    <w:p w:rsidR="006332B3" w:rsidRPr="006332B3" w:rsidRDefault="006332B3" w:rsidP="006332B3">
      <w:pPr>
        <w:spacing w:after="0" w:line="360" w:lineRule="auto"/>
        <w:ind w:left="709" w:hanging="283"/>
        <w:jc w:val="both"/>
        <w:rPr>
          <w:rFonts w:cstheme="minorHAnsi"/>
        </w:rPr>
      </w:pPr>
      <w:r w:rsidRPr="006332B3">
        <w:rPr>
          <w:rFonts w:cstheme="minorHAnsi"/>
        </w:rPr>
        <w:t>12.</w:t>
      </w:r>
      <w:r w:rsidRPr="006332B3">
        <w:rPr>
          <w:rFonts w:cstheme="minorHAnsi"/>
        </w:rPr>
        <w:tab/>
        <w:t>penguasaan, pengembangan, dan penerapan teknologi pertambangan;</w:t>
      </w:r>
    </w:p>
    <w:p w:rsidR="006332B3" w:rsidRPr="006332B3" w:rsidRDefault="006332B3" w:rsidP="006332B3">
      <w:pPr>
        <w:spacing w:after="0" w:line="360" w:lineRule="auto"/>
        <w:ind w:left="709" w:hanging="283"/>
        <w:jc w:val="both"/>
        <w:rPr>
          <w:rFonts w:cstheme="minorHAnsi"/>
        </w:rPr>
      </w:pPr>
      <w:r w:rsidRPr="006332B3">
        <w:rPr>
          <w:rFonts w:cstheme="minorHAnsi"/>
        </w:rPr>
        <w:t>13.</w:t>
      </w:r>
      <w:r w:rsidRPr="006332B3">
        <w:rPr>
          <w:rFonts w:cstheme="minorHAnsi"/>
        </w:rPr>
        <w:tab/>
        <w:t>kegiatan-kegiatan lain di bidang kegiatan usaha pertambangan yang menyangkut kepentingan umum;</w:t>
      </w:r>
    </w:p>
    <w:p w:rsidR="006332B3" w:rsidRPr="006332B3" w:rsidRDefault="006332B3" w:rsidP="006332B3">
      <w:pPr>
        <w:spacing w:after="0" w:line="360" w:lineRule="auto"/>
        <w:ind w:left="709" w:hanging="283"/>
        <w:jc w:val="both"/>
        <w:rPr>
          <w:rFonts w:cstheme="minorHAnsi"/>
        </w:rPr>
      </w:pPr>
      <w:r w:rsidRPr="006332B3">
        <w:rPr>
          <w:rFonts w:cstheme="minorHAnsi"/>
        </w:rPr>
        <w:t>14.</w:t>
      </w:r>
      <w:r w:rsidRPr="006332B3">
        <w:rPr>
          <w:rFonts w:cstheme="minorHAnsi"/>
        </w:rPr>
        <w:tab/>
        <w:t>pengelolaan IUP atau IUPK; dan</w:t>
      </w:r>
    </w:p>
    <w:p w:rsidR="00093C42" w:rsidRDefault="006332B3" w:rsidP="006332B3">
      <w:pPr>
        <w:spacing w:after="0" w:line="360" w:lineRule="auto"/>
        <w:ind w:left="709" w:hanging="283"/>
        <w:jc w:val="both"/>
        <w:rPr>
          <w:rFonts w:cstheme="minorHAnsi"/>
        </w:rPr>
      </w:pPr>
      <w:r w:rsidRPr="006332B3">
        <w:rPr>
          <w:rFonts w:cstheme="minorHAnsi"/>
        </w:rPr>
        <w:t>15.</w:t>
      </w:r>
      <w:r w:rsidRPr="006332B3">
        <w:rPr>
          <w:rFonts w:cstheme="minorHAnsi"/>
        </w:rPr>
        <w:tab/>
        <w:t>jumlah, jenis, dan mutu hasil usaha pertambangan</w:t>
      </w:r>
    </w:p>
    <w:p w:rsidR="00DC1FA7" w:rsidRDefault="00DC1FA7" w:rsidP="00076F43">
      <w:pPr>
        <w:spacing w:after="0" w:line="360" w:lineRule="auto"/>
        <w:jc w:val="both"/>
        <w:rPr>
          <w:rFonts w:cstheme="minorHAnsi"/>
        </w:rPr>
      </w:pPr>
    </w:p>
    <w:p w:rsidR="00093C42" w:rsidRDefault="00C952AD" w:rsidP="00076F43">
      <w:pPr>
        <w:spacing w:after="0" w:line="360" w:lineRule="auto"/>
        <w:jc w:val="both"/>
        <w:rPr>
          <w:rFonts w:cstheme="minorHAnsi"/>
        </w:rPr>
      </w:pPr>
      <w:r w:rsidRPr="00242361">
        <w:rPr>
          <w:rFonts w:cstheme="minorHAnsi"/>
        </w:rPr>
        <w:t xml:space="preserve">Kewenangan </w:t>
      </w:r>
      <w:r w:rsidR="00093C42" w:rsidRPr="00242361">
        <w:rPr>
          <w:rFonts w:cstheme="minorHAnsi"/>
        </w:rPr>
        <w:t xml:space="preserve">Dinas ESDM untuk </w:t>
      </w:r>
      <w:r w:rsidRPr="00242361">
        <w:rPr>
          <w:rFonts w:cstheme="minorHAnsi"/>
        </w:rPr>
        <w:t xml:space="preserve">pengawasan </w:t>
      </w:r>
      <w:r w:rsidR="00093C42" w:rsidRPr="00242361">
        <w:rPr>
          <w:rFonts w:cstheme="minorHAnsi"/>
        </w:rPr>
        <w:t xml:space="preserve">15 </w:t>
      </w:r>
      <w:r w:rsidRPr="00242361">
        <w:rPr>
          <w:rFonts w:cstheme="minorHAnsi"/>
        </w:rPr>
        <w:t>a</w:t>
      </w:r>
      <w:r w:rsidR="00F54BAE" w:rsidRPr="00242361">
        <w:rPr>
          <w:rFonts w:cstheme="minorHAnsi"/>
        </w:rPr>
        <w:t>spek tersebut</w:t>
      </w:r>
      <w:r w:rsidRPr="00242361">
        <w:rPr>
          <w:rFonts w:cstheme="minorHAnsi"/>
        </w:rPr>
        <w:t xml:space="preserve"> </w:t>
      </w:r>
      <w:r w:rsidR="00093C42" w:rsidRPr="00242361">
        <w:rPr>
          <w:rFonts w:cstheme="minorHAnsi"/>
        </w:rPr>
        <w:t>berbagi</w:t>
      </w:r>
      <w:r w:rsidRPr="00242361">
        <w:rPr>
          <w:rFonts w:cstheme="minorHAnsi"/>
        </w:rPr>
        <w:t xml:space="preserve"> dengan </w:t>
      </w:r>
      <w:r w:rsidR="00F54BAE" w:rsidRPr="00242361">
        <w:rPr>
          <w:rFonts w:cstheme="minorHAnsi"/>
        </w:rPr>
        <w:t>Inspektur Tambang</w:t>
      </w:r>
      <w:r w:rsidR="00093C42" w:rsidRPr="00242361">
        <w:rPr>
          <w:rFonts w:cstheme="minorHAnsi"/>
        </w:rPr>
        <w:t>. Inspektur Tambang adalah</w:t>
      </w:r>
      <w:r w:rsidR="00F54BAE" w:rsidRPr="00242361">
        <w:rPr>
          <w:rFonts w:cstheme="minorHAnsi"/>
        </w:rPr>
        <w:t xml:space="preserve"> ASN </w:t>
      </w:r>
      <w:r w:rsidRPr="00242361">
        <w:rPr>
          <w:rFonts w:cstheme="minorHAnsi"/>
        </w:rPr>
        <w:t xml:space="preserve">dari </w:t>
      </w:r>
      <w:r w:rsidR="00F54BAE" w:rsidRPr="00242361">
        <w:rPr>
          <w:rFonts w:cstheme="minorHAnsi"/>
        </w:rPr>
        <w:t xml:space="preserve">Kementerian </w:t>
      </w:r>
      <w:r w:rsidR="00F54BAE" w:rsidRPr="00242361">
        <w:rPr>
          <w:rFonts w:cstheme="minorHAnsi"/>
        </w:rPr>
        <w:lastRenderedPageBreak/>
        <w:t>ESDM</w:t>
      </w:r>
      <w:r w:rsidR="005B1AEB" w:rsidRPr="00242361">
        <w:rPr>
          <w:rFonts w:cstheme="minorHAnsi"/>
        </w:rPr>
        <w:t xml:space="preserve"> yang ditempatkan di dae</w:t>
      </w:r>
      <w:r w:rsidR="00093C42" w:rsidRPr="00242361">
        <w:rPr>
          <w:rFonts w:cstheme="minorHAnsi"/>
        </w:rPr>
        <w:t xml:space="preserve">rah untuk melakukan pengawasan </w:t>
      </w:r>
      <w:r w:rsidR="00093C42">
        <w:rPr>
          <w:rFonts w:cstheme="minorHAnsi"/>
        </w:rPr>
        <w:t>kegiatan usaha pertambangan</w:t>
      </w:r>
      <w:r w:rsidR="00F54BAE">
        <w:rPr>
          <w:rFonts w:cstheme="minorHAnsi"/>
        </w:rPr>
        <w:t>.</w:t>
      </w:r>
      <w:r>
        <w:rPr>
          <w:rFonts w:cstheme="minorHAnsi"/>
        </w:rPr>
        <w:t xml:space="preserve"> </w:t>
      </w:r>
      <w:r w:rsidR="00890528">
        <w:rPr>
          <w:rFonts w:cstheme="minorHAnsi"/>
        </w:rPr>
        <w:t xml:space="preserve">Adapun </w:t>
      </w:r>
      <w:r w:rsidR="006332B3">
        <w:rPr>
          <w:rFonts w:cstheme="minorHAnsi"/>
        </w:rPr>
        <w:t xml:space="preserve">aspek </w:t>
      </w:r>
      <w:r w:rsidR="00890528">
        <w:rPr>
          <w:rFonts w:cstheme="minorHAnsi"/>
        </w:rPr>
        <w:t xml:space="preserve">yang pengawasannya dilakukan oleh Inspektur Tambang adalah aspek </w:t>
      </w:r>
      <w:r w:rsidR="006332B3">
        <w:rPr>
          <w:rFonts w:cstheme="minorHAnsi"/>
        </w:rPr>
        <w:t>no 1, 5, 6, 7, 8 dan 12</w:t>
      </w:r>
      <w:r w:rsidR="00890528">
        <w:rPr>
          <w:rFonts w:cstheme="minorHAnsi"/>
        </w:rPr>
        <w:t>. Sisanya dilakukan oleh Dinas ESDM.</w:t>
      </w:r>
      <w:r w:rsidR="006332B3">
        <w:rPr>
          <w:rFonts w:cstheme="minorHAnsi"/>
        </w:rPr>
        <w:t xml:space="preserve"> </w:t>
      </w:r>
    </w:p>
    <w:p w:rsidR="00F54BAE" w:rsidRDefault="00C952AD" w:rsidP="00076F43">
      <w:p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Kendala selama ini untuk pengawasan tambang adalah dukungan operasional, baik itu keterbatasan anggaran pengawasan maupun sarana prasarana </w:t>
      </w:r>
      <w:r w:rsidR="00093C42">
        <w:rPr>
          <w:rFonts w:cstheme="minorHAnsi"/>
        </w:rPr>
        <w:t xml:space="preserve">untuk melakukan </w:t>
      </w:r>
      <w:r>
        <w:rPr>
          <w:rFonts w:cstheme="minorHAnsi"/>
        </w:rPr>
        <w:t xml:space="preserve">pengawasan. Sesuai PP 18 Tahun 2018 tentang Perangkat Daerah operasional Inspektur Tambang dalam melakukan tugas pengawasan dibebankan kepada APBD.  </w:t>
      </w:r>
      <w:r w:rsidR="00F54BAE">
        <w:rPr>
          <w:rFonts w:cstheme="minorHAnsi"/>
        </w:rPr>
        <w:t xml:space="preserve"> </w:t>
      </w:r>
    </w:p>
    <w:p w:rsidR="00853D4C" w:rsidRDefault="00853D4C" w:rsidP="00076F43">
      <w:pPr>
        <w:spacing w:after="0" w:line="360" w:lineRule="auto"/>
        <w:jc w:val="both"/>
        <w:rPr>
          <w:rFonts w:cstheme="minorHAnsi"/>
        </w:rPr>
      </w:pPr>
    </w:p>
    <w:p w:rsidR="005B1AEB" w:rsidRDefault="00FB193D" w:rsidP="00076F43">
      <w:pPr>
        <w:spacing w:after="0" w:line="360" w:lineRule="auto"/>
        <w:jc w:val="both"/>
        <w:rPr>
          <w:rFonts w:cstheme="minorHAnsi"/>
          <w:color w:val="000000" w:themeColor="text1"/>
        </w:rPr>
      </w:pPr>
      <w:r w:rsidRPr="00303315">
        <w:rPr>
          <w:rFonts w:cstheme="minorHAnsi"/>
          <w:color w:val="000000" w:themeColor="text1"/>
        </w:rPr>
        <w:t>Penanganan PETI</w:t>
      </w:r>
      <w:r w:rsidR="007D6FDF" w:rsidRPr="00303315">
        <w:rPr>
          <w:rFonts w:cstheme="minorHAnsi"/>
          <w:color w:val="000000" w:themeColor="text1"/>
        </w:rPr>
        <w:t xml:space="preserve"> </w:t>
      </w:r>
      <w:r w:rsidR="00303315" w:rsidRPr="00303315">
        <w:rPr>
          <w:rFonts w:cstheme="minorHAnsi"/>
          <w:color w:val="000000" w:themeColor="text1"/>
        </w:rPr>
        <w:t>hanya dapat dilakukan dengan komitmen seluruh pihak, antara lain</w:t>
      </w:r>
      <w:r w:rsidR="00303315">
        <w:rPr>
          <w:rFonts w:cstheme="minorHAnsi"/>
          <w:color w:val="000000" w:themeColor="text1"/>
        </w:rPr>
        <w:t xml:space="preserve">: </w:t>
      </w:r>
    </w:p>
    <w:p w:rsidR="005B1AEB" w:rsidRDefault="00303315" w:rsidP="005B1AEB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cstheme="minorHAnsi"/>
          <w:color w:val="000000" w:themeColor="text1"/>
        </w:rPr>
      </w:pPr>
      <w:r w:rsidRPr="005B1AEB">
        <w:rPr>
          <w:rFonts w:cstheme="minorHAnsi"/>
          <w:color w:val="000000" w:themeColor="text1"/>
        </w:rPr>
        <w:t xml:space="preserve">penertiban-penertiban PETI yang harus </w:t>
      </w:r>
      <w:r w:rsidR="005B1AEB" w:rsidRPr="005B1AEB">
        <w:rPr>
          <w:rFonts w:cstheme="minorHAnsi"/>
          <w:color w:val="000000" w:themeColor="text1"/>
        </w:rPr>
        <w:t xml:space="preserve">terus </w:t>
      </w:r>
      <w:r w:rsidRPr="005B1AEB">
        <w:rPr>
          <w:rFonts w:cstheme="minorHAnsi"/>
          <w:color w:val="000000" w:themeColor="text1"/>
        </w:rPr>
        <w:t>konsisten dilakukan</w:t>
      </w:r>
    </w:p>
    <w:p w:rsidR="005B1AEB" w:rsidRDefault="00303315" w:rsidP="005B1AEB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cstheme="minorHAnsi"/>
          <w:color w:val="000000" w:themeColor="text1"/>
        </w:rPr>
      </w:pPr>
      <w:r w:rsidRPr="005B1AEB">
        <w:rPr>
          <w:rFonts w:cstheme="minorHAnsi"/>
          <w:color w:val="000000" w:themeColor="text1"/>
        </w:rPr>
        <w:t>mengawasi bahan baku/bahan operasional PETI</w:t>
      </w:r>
    </w:p>
    <w:p w:rsidR="00FB193D" w:rsidRPr="005B1AEB" w:rsidRDefault="00303315" w:rsidP="005B1AEB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cstheme="minorHAnsi"/>
          <w:color w:val="000000" w:themeColor="text1"/>
        </w:rPr>
      </w:pPr>
      <w:r w:rsidRPr="005B1AEB">
        <w:rPr>
          <w:rFonts w:cstheme="minorHAnsi"/>
          <w:color w:val="000000" w:themeColor="text1"/>
        </w:rPr>
        <w:t xml:space="preserve">memutus peredaran komoditi hasil PETI. </w:t>
      </w:r>
    </w:p>
    <w:p w:rsidR="00FB193D" w:rsidRDefault="00FB193D" w:rsidP="00076F43">
      <w:pPr>
        <w:spacing w:after="0" w:line="360" w:lineRule="auto"/>
        <w:jc w:val="both"/>
        <w:rPr>
          <w:rFonts w:cstheme="minorHAnsi"/>
        </w:rPr>
      </w:pPr>
    </w:p>
    <w:p w:rsidR="00F361A0" w:rsidRDefault="00F361A0" w:rsidP="00076F43">
      <w:pPr>
        <w:pStyle w:val="ListParagraph"/>
        <w:numPr>
          <w:ilvl w:val="0"/>
          <w:numId w:val="9"/>
        </w:numPr>
        <w:spacing w:after="0" w:line="360" w:lineRule="auto"/>
        <w:ind w:left="426" w:hanging="426"/>
        <w:jc w:val="both"/>
        <w:rPr>
          <w:rFonts w:cstheme="minorHAnsi"/>
          <w:b/>
          <w:i/>
          <w:u w:val="single"/>
        </w:rPr>
      </w:pPr>
      <w:r w:rsidRPr="00D7123D">
        <w:rPr>
          <w:rFonts w:cstheme="minorHAnsi"/>
          <w:b/>
          <w:i/>
          <w:u w:val="single"/>
        </w:rPr>
        <w:t>GEOLOGI DAN AIR TANAH</w:t>
      </w:r>
    </w:p>
    <w:p w:rsidR="000C53F4" w:rsidRPr="00D7123D" w:rsidRDefault="000C53F4" w:rsidP="000C53F4">
      <w:pPr>
        <w:pStyle w:val="ListParagraph"/>
        <w:spacing w:after="0" w:line="360" w:lineRule="auto"/>
        <w:ind w:left="426"/>
        <w:jc w:val="both"/>
        <w:rPr>
          <w:rFonts w:cstheme="minorHAnsi"/>
          <w:b/>
          <w:i/>
          <w:u w:val="single"/>
        </w:rPr>
      </w:pPr>
    </w:p>
    <w:p w:rsidR="001C5E79" w:rsidRDefault="001C5E79" w:rsidP="00076F43">
      <w:pPr>
        <w:spacing w:after="0" w:line="360" w:lineRule="auto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Hal-hal yang ingin dicapai pada Bidang Geologi dan Air Tanah :</w:t>
      </w:r>
    </w:p>
    <w:p w:rsidR="001C5E79" w:rsidRDefault="00815161" w:rsidP="001C5E79">
      <w:pPr>
        <w:pStyle w:val="ListParagraph"/>
        <w:numPr>
          <w:ilvl w:val="0"/>
          <w:numId w:val="17"/>
        </w:numPr>
        <w:ind w:left="426" w:hanging="426"/>
        <w:jc w:val="both"/>
      </w:pPr>
      <w:r>
        <w:t xml:space="preserve">Penyediaan </w:t>
      </w:r>
      <w:r w:rsidR="004B18F5">
        <w:t xml:space="preserve">dan updating </w:t>
      </w:r>
      <w:r>
        <w:t>d</w:t>
      </w:r>
      <w:r w:rsidR="001C5E79">
        <w:t>ata</w:t>
      </w:r>
      <w:r>
        <w:t xml:space="preserve"> </w:t>
      </w:r>
      <w:r w:rsidR="001C5E79">
        <w:t>sumberdaya dan cadangan mineral di Provinsi Jambi</w:t>
      </w:r>
    </w:p>
    <w:p w:rsidR="001C5E79" w:rsidRDefault="00815161" w:rsidP="001C5E79">
      <w:pPr>
        <w:pStyle w:val="ListParagraph"/>
        <w:numPr>
          <w:ilvl w:val="0"/>
          <w:numId w:val="17"/>
        </w:numPr>
        <w:ind w:left="426" w:hanging="426"/>
        <w:jc w:val="both"/>
      </w:pPr>
      <w:r>
        <w:t xml:space="preserve">Penyediaan data dan </w:t>
      </w:r>
      <w:r w:rsidR="001C5E79">
        <w:t>informasi Daerah Rawan Bencana Geologi di Provinsi dan pemasangan alat untuk mitigasi bencana geologi</w:t>
      </w:r>
    </w:p>
    <w:p w:rsidR="001C5E79" w:rsidRDefault="00815161" w:rsidP="001C5E79">
      <w:pPr>
        <w:pStyle w:val="ListParagraph"/>
        <w:numPr>
          <w:ilvl w:val="0"/>
          <w:numId w:val="17"/>
        </w:numPr>
        <w:ind w:left="426" w:hanging="426"/>
        <w:jc w:val="both"/>
      </w:pPr>
      <w:r>
        <w:t xml:space="preserve">Penyediaan data dan </w:t>
      </w:r>
      <w:r w:rsidR="001C5E79">
        <w:t>informasi geologi lingkungan di Provinsi Jambi</w:t>
      </w:r>
    </w:p>
    <w:p w:rsidR="00815161" w:rsidRDefault="00815161" w:rsidP="001C5E79">
      <w:pPr>
        <w:pStyle w:val="ListParagraph"/>
        <w:numPr>
          <w:ilvl w:val="0"/>
          <w:numId w:val="17"/>
        </w:numPr>
        <w:ind w:left="426" w:hanging="426"/>
        <w:jc w:val="both"/>
      </w:pPr>
      <w:r>
        <w:lastRenderedPageBreak/>
        <w:t>Penyediaan data dan Infomasi keragaman Bumi (Geodiversity) di Provinsi Jambi</w:t>
      </w:r>
    </w:p>
    <w:p w:rsidR="001C5E79" w:rsidRDefault="001C5E79" w:rsidP="001C5E79">
      <w:pPr>
        <w:pStyle w:val="ListParagraph"/>
        <w:numPr>
          <w:ilvl w:val="0"/>
          <w:numId w:val="17"/>
        </w:numPr>
        <w:ind w:left="426" w:hanging="426"/>
        <w:jc w:val="both"/>
      </w:pPr>
      <w:r>
        <w:t>Pembinaan dan pengawasan terhadap pengelolaan air tanah</w:t>
      </w:r>
    </w:p>
    <w:p w:rsidR="001C5E79" w:rsidRDefault="001C5E79" w:rsidP="001C5E79">
      <w:pPr>
        <w:pStyle w:val="ListParagraph"/>
        <w:ind w:left="426"/>
        <w:jc w:val="both"/>
      </w:pPr>
    </w:p>
    <w:p w:rsidR="00D7123D" w:rsidRPr="000C53F4" w:rsidRDefault="00D7123D" w:rsidP="00076F43">
      <w:pPr>
        <w:pStyle w:val="ListParagraph"/>
        <w:spacing w:after="0" w:line="360" w:lineRule="auto"/>
        <w:ind w:left="0"/>
        <w:jc w:val="both"/>
        <w:rPr>
          <w:color w:val="000000" w:themeColor="text1"/>
        </w:rPr>
      </w:pPr>
    </w:p>
    <w:p w:rsidR="002B5C0A" w:rsidRDefault="002B5C0A" w:rsidP="00076F43">
      <w:pPr>
        <w:pStyle w:val="ListParagraph"/>
        <w:spacing w:after="0" w:line="360" w:lineRule="auto"/>
        <w:ind w:left="0"/>
        <w:jc w:val="both"/>
        <w:rPr>
          <w:color w:val="FF0000"/>
        </w:rPr>
      </w:pPr>
    </w:p>
    <w:p w:rsidR="002B5C0A" w:rsidRDefault="002B5C0A" w:rsidP="00076F43">
      <w:pPr>
        <w:pStyle w:val="ListParagraph"/>
        <w:spacing w:after="0" w:line="360" w:lineRule="auto"/>
        <w:ind w:left="0"/>
        <w:jc w:val="both"/>
        <w:rPr>
          <w:color w:val="FF0000"/>
        </w:rPr>
      </w:pPr>
    </w:p>
    <w:p w:rsidR="002B5C0A" w:rsidRDefault="002B5C0A" w:rsidP="00076F43">
      <w:pPr>
        <w:pStyle w:val="ListParagraph"/>
        <w:spacing w:after="0" w:line="360" w:lineRule="auto"/>
        <w:ind w:left="0"/>
        <w:jc w:val="both"/>
        <w:rPr>
          <w:color w:val="FF0000"/>
        </w:rPr>
      </w:pPr>
    </w:p>
    <w:p w:rsidR="002B5C0A" w:rsidRDefault="002B5C0A" w:rsidP="00076F43">
      <w:pPr>
        <w:pStyle w:val="ListParagraph"/>
        <w:spacing w:after="0" w:line="360" w:lineRule="auto"/>
        <w:ind w:left="0"/>
        <w:jc w:val="both"/>
        <w:rPr>
          <w:color w:val="FF0000"/>
        </w:rPr>
      </w:pPr>
    </w:p>
    <w:p w:rsidR="002B5C0A" w:rsidRDefault="002B5C0A" w:rsidP="00076F43">
      <w:pPr>
        <w:pStyle w:val="ListParagraph"/>
        <w:spacing w:after="0" w:line="360" w:lineRule="auto"/>
        <w:ind w:left="0"/>
        <w:jc w:val="both"/>
        <w:rPr>
          <w:color w:val="FF0000"/>
        </w:rPr>
      </w:pPr>
    </w:p>
    <w:p w:rsidR="002B5C0A" w:rsidRDefault="002B5C0A" w:rsidP="00076F43">
      <w:pPr>
        <w:pStyle w:val="ListParagraph"/>
        <w:spacing w:after="0" w:line="360" w:lineRule="auto"/>
        <w:ind w:left="0"/>
        <w:jc w:val="both"/>
        <w:rPr>
          <w:color w:val="FF0000"/>
        </w:rPr>
      </w:pPr>
    </w:p>
    <w:p w:rsidR="002B5C0A" w:rsidRDefault="002B5C0A" w:rsidP="00076F43">
      <w:pPr>
        <w:pStyle w:val="ListParagraph"/>
        <w:spacing w:after="0" w:line="360" w:lineRule="auto"/>
        <w:ind w:left="0"/>
        <w:jc w:val="both"/>
        <w:rPr>
          <w:color w:val="FF0000"/>
        </w:rPr>
      </w:pPr>
    </w:p>
    <w:sectPr w:rsidR="002B5C0A" w:rsidSect="00521D18">
      <w:headerReference w:type="default" r:id="rId9"/>
      <w:footerReference w:type="default" r:id="rId10"/>
      <w:pgSz w:w="8391" w:h="11907" w:code="11"/>
      <w:pgMar w:top="720" w:right="607" w:bottom="720" w:left="833" w:header="709" w:footer="709" w:gutter="0"/>
      <w:pgNumType w:start="2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952" w:rsidRDefault="006F7952" w:rsidP="00D7123D">
      <w:pPr>
        <w:spacing w:after="0" w:line="240" w:lineRule="auto"/>
      </w:pPr>
      <w:r>
        <w:separator/>
      </w:r>
    </w:p>
  </w:endnote>
  <w:endnote w:type="continuationSeparator" w:id="0">
    <w:p w:rsidR="006F7952" w:rsidRDefault="006F7952" w:rsidP="00D71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dobe Garamond Pro" w:hAnsi="Adobe Garamond Pro"/>
        <w:sz w:val="20"/>
        <w:szCs w:val="20"/>
        <w:u w:val="single"/>
      </w:rPr>
      <w:id w:val="-273863855"/>
      <w:docPartObj>
        <w:docPartGallery w:val="Page Numbers (Top of Page)"/>
        <w:docPartUnique/>
      </w:docPartObj>
    </w:sdtPr>
    <w:sdtEndPr>
      <w:rPr>
        <w:noProof/>
        <w:u w:val="none"/>
      </w:rPr>
    </w:sdtEndPr>
    <w:sdtContent>
      <w:p w:rsidR="001F02C0" w:rsidRDefault="001F02C0" w:rsidP="002A19FF">
        <w:pPr>
          <w:pStyle w:val="Header"/>
          <w:jc w:val="right"/>
          <w:rPr>
            <w:rFonts w:ascii="Adobe Garamond Pro" w:hAnsi="Adobe Garamond Pro"/>
            <w:noProof/>
            <w:sz w:val="20"/>
            <w:szCs w:val="20"/>
          </w:rPr>
        </w:pPr>
        <w:r w:rsidRPr="00630D10">
          <w:rPr>
            <w:rFonts w:ascii="Adobe Garamond Pro" w:hAnsi="Adobe Garamond Pro"/>
            <w:sz w:val="20"/>
            <w:szCs w:val="20"/>
            <w:u w:val="single"/>
          </w:rPr>
          <w:t>B</w:t>
        </w:r>
        <w:r w:rsidR="004336A6">
          <w:rPr>
            <w:rFonts w:ascii="Adobe Garamond Pro" w:hAnsi="Adobe Garamond Pro"/>
            <w:sz w:val="20"/>
            <w:szCs w:val="20"/>
            <w:u w:val="single"/>
          </w:rPr>
          <w:t>uku profil Dinas ESDM Tahun 2018</w:t>
        </w:r>
      </w:p>
    </w:sdtContent>
  </w:sdt>
  <w:p w:rsidR="001F02C0" w:rsidRDefault="001F02C0">
    <w:pPr>
      <w:pStyle w:val="Footer"/>
    </w:pPr>
  </w:p>
  <w:p w:rsidR="001F02C0" w:rsidRDefault="001F02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952" w:rsidRDefault="006F7952" w:rsidP="00D7123D">
      <w:pPr>
        <w:spacing w:after="0" w:line="240" w:lineRule="auto"/>
      </w:pPr>
      <w:r>
        <w:separator/>
      </w:r>
    </w:p>
  </w:footnote>
  <w:footnote w:type="continuationSeparator" w:id="0">
    <w:p w:rsidR="006F7952" w:rsidRDefault="006F7952" w:rsidP="00D71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5765698"/>
      <w:docPartObj>
        <w:docPartGallery w:val="Page Numbers (Top of Page)"/>
        <w:docPartUnique/>
      </w:docPartObj>
    </w:sdtPr>
    <w:sdtEndPr>
      <w:rPr>
        <w:noProof/>
      </w:rPr>
    </w:sdtEndPr>
    <w:sdtContent>
      <w:p w:rsidR="001F02C0" w:rsidRDefault="001F02C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2361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:rsidR="001F02C0" w:rsidRDefault="001F02C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5pt;height:11.5pt" o:bullet="t">
        <v:imagedata r:id="rId1" o:title="BD14981_"/>
      </v:shape>
    </w:pict>
  </w:numPicBullet>
  <w:abstractNum w:abstractNumId="0">
    <w:nsid w:val="00A573C8"/>
    <w:multiLevelType w:val="hybridMultilevel"/>
    <w:tmpl w:val="5F84B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8555F"/>
    <w:multiLevelType w:val="hybridMultilevel"/>
    <w:tmpl w:val="D90EA7CE"/>
    <w:lvl w:ilvl="0" w:tplc="0421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32778"/>
    <w:multiLevelType w:val="hybridMultilevel"/>
    <w:tmpl w:val="A636F71C"/>
    <w:lvl w:ilvl="0" w:tplc="ABE4EB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1A1B20"/>
    <w:multiLevelType w:val="hybridMultilevel"/>
    <w:tmpl w:val="F9105C3E"/>
    <w:lvl w:ilvl="0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4E42BEB6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C465DF8"/>
    <w:multiLevelType w:val="hybridMultilevel"/>
    <w:tmpl w:val="9678081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BF0143"/>
    <w:multiLevelType w:val="hybridMultilevel"/>
    <w:tmpl w:val="0526CAE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D847BD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E317D5"/>
    <w:multiLevelType w:val="hybridMultilevel"/>
    <w:tmpl w:val="EA38FDE0"/>
    <w:lvl w:ilvl="0" w:tplc="DC4CE78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242BF"/>
    <w:multiLevelType w:val="hybridMultilevel"/>
    <w:tmpl w:val="9678081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37364"/>
    <w:multiLevelType w:val="hybridMultilevel"/>
    <w:tmpl w:val="39C6C09C"/>
    <w:lvl w:ilvl="0" w:tplc="0421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3B001D26"/>
    <w:multiLevelType w:val="hybridMultilevel"/>
    <w:tmpl w:val="DE4466E4"/>
    <w:lvl w:ilvl="0" w:tplc="8B7A430A">
      <w:start w:val="2"/>
      <w:numFmt w:val="bullet"/>
      <w:lvlText w:val=""/>
      <w:lvlPicBulletId w:val="0"/>
      <w:lvlJc w:val="left"/>
      <w:pPr>
        <w:ind w:left="1287" w:hanging="360"/>
      </w:pPr>
      <w:rPr>
        <w:rFonts w:ascii="Symbol" w:eastAsia="Times New Roman" w:hAnsi="Symbol" w:hint="default"/>
        <w:color w:val="auto"/>
        <w:sz w:val="24"/>
        <w:szCs w:val="24"/>
      </w:rPr>
    </w:lvl>
    <w:lvl w:ilvl="1" w:tplc="0421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C9445BF"/>
    <w:multiLevelType w:val="hybridMultilevel"/>
    <w:tmpl w:val="E3E0C616"/>
    <w:lvl w:ilvl="0" w:tplc="8E3C4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8A19A4"/>
    <w:multiLevelType w:val="hybridMultilevel"/>
    <w:tmpl w:val="CFA6CE62"/>
    <w:lvl w:ilvl="0" w:tplc="0421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7DF0AF8"/>
    <w:multiLevelType w:val="hybridMultilevel"/>
    <w:tmpl w:val="418E4090"/>
    <w:lvl w:ilvl="0" w:tplc="E1EA827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1840D6A"/>
    <w:multiLevelType w:val="hybridMultilevel"/>
    <w:tmpl w:val="8B7CA28A"/>
    <w:lvl w:ilvl="0" w:tplc="BC72E3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0510B5"/>
    <w:multiLevelType w:val="hybridMultilevel"/>
    <w:tmpl w:val="E3E0C616"/>
    <w:lvl w:ilvl="0" w:tplc="8E3C4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34763C"/>
    <w:multiLevelType w:val="hybridMultilevel"/>
    <w:tmpl w:val="FE105C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EC4088"/>
    <w:multiLevelType w:val="hybridMultilevel"/>
    <w:tmpl w:val="A92C66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2"/>
  </w:num>
  <w:num w:numId="5">
    <w:abstractNumId w:val="11"/>
  </w:num>
  <w:num w:numId="6">
    <w:abstractNumId w:val="6"/>
  </w:num>
  <w:num w:numId="7">
    <w:abstractNumId w:val="1"/>
  </w:num>
  <w:num w:numId="8">
    <w:abstractNumId w:val="12"/>
  </w:num>
  <w:num w:numId="9">
    <w:abstractNumId w:val="14"/>
  </w:num>
  <w:num w:numId="10">
    <w:abstractNumId w:val="7"/>
  </w:num>
  <w:num w:numId="11">
    <w:abstractNumId w:val="4"/>
  </w:num>
  <w:num w:numId="12">
    <w:abstractNumId w:val="10"/>
  </w:num>
  <w:num w:numId="13">
    <w:abstractNumId w:val="15"/>
  </w:num>
  <w:num w:numId="14">
    <w:abstractNumId w:val="9"/>
  </w:num>
  <w:num w:numId="15">
    <w:abstractNumId w:val="16"/>
  </w:num>
  <w:num w:numId="16">
    <w:abstractNumId w:val="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940"/>
    <w:rsid w:val="00002B71"/>
    <w:rsid w:val="00012BFC"/>
    <w:rsid w:val="0001516F"/>
    <w:rsid w:val="0001688B"/>
    <w:rsid w:val="0002201A"/>
    <w:rsid w:val="00036B6F"/>
    <w:rsid w:val="0007052A"/>
    <w:rsid w:val="00076F43"/>
    <w:rsid w:val="0008797C"/>
    <w:rsid w:val="00087ACB"/>
    <w:rsid w:val="000901B6"/>
    <w:rsid w:val="00093C42"/>
    <w:rsid w:val="000A135A"/>
    <w:rsid w:val="000C53F4"/>
    <w:rsid w:val="000C5872"/>
    <w:rsid w:val="000C6172"/>
    <w:rsid w:val="000F1879"/>
    <w:rsid w:val="001130B2"/>
    <w:rsid w:val="0011615C"/>
    <w:rsid w:val="00124572"/>
    <w:rsid w:val="00141B89"/>
    <w:rsid w:val="0014626A"/>
    <w:rsid w:val="00173EE5"/>
    <w:rsid w:val="00187ABC"/>
    <w:rsid w:val="001C5E79"/>
    <w:rsid w:val="001D3A53"/>
    <w:rsid w:val="001E43A0"/>
    <w:rsid w:val="001F02C0"/>
    <w:rsid w:val="001F781E"/>
    <w:rsid w:val="0020187F"/>
    <w:rsid w:val="00242361"/>
    <w:rsid w:val="0028286F"/>
    <w:rsid w:val="00284BFE"/>
    <w:rsid w:val="00293BCE"/>
    <w:rsid w:val="00295D9B"/>
    <w:rsid w:val="002A19FF"/>
    <w:rsid w:val="002B1504"/>
    <w:rsid w:val="002B5C0A"/>
    <w:rsid w:val="00303315"/>
    <w:rsid w:val="00310F5E"/>
    <w:rsid w:val="00316916"/>
    <w:rsid w:val="00337C87"/>
    <w:rsid w:val="00360720"/>
    <w:rsid w:val="00374603"/>
    <w:rsid w:val="00381BC3"/>
    <w:rsid w:val="00390997"/>
    <w:rsid w:val="0039472A"/>
    <w:rsid w:val="003A28A9"/>
    <w:rsid w:val="003A4BEE"/>
    <w:rsid w:val="00413C25"/>
    <w:rsid w:val="00415344"/>
    <w:rsid w:val="00420BDD"/>
    <w:rsid w:val="00424B2B"/>
    <w:rsid w:val="004271E2"/>
    <w:rsid w:val="004336A6"/>
    <w:rsid w:val="0044402E"/>
    <w:rsid w:val="00456EF4"/>
    <w:rsid w:val="00462797"/>
    <w:rsid w:val="004B18F5"/>
    <w:rsid w:val="004B59AC"/>
    <w:rsid w:val="004C480D"/>
    <w:rsid w:val="004D073B"/>
    <w:rsid w:val="004D6EAC"/>
    <w:rsid w:val="004F3B40"/>
    <w:rsid w:val="00515A1D"/>
    <w:rsid w:val="00521D18"/>
    <w:rsid w:val="005367F0"/>
    <w:rsid w:val="00547AFE"/>
    <w:rsid w:val="005735B3"/>
    <w:rsid w:val="00596AD3"/>
    <w:rsid w:val="005A2AAE"/>
    <w:rsid w:val="005A2C4A"/>
    <w:rsid w:val="005B1AEB"/>
    <w:rsid w:val="005E0FE7"/>
    <w:rsid w:val="005E31A5"/>
    <w:rsid w:val="005F104E"/>
    <w:rsid w:val="0060223D"/>
    <w:rsid w:val="00604A51"/>
    <w:rsid w:val="0062009C"/>
    <w:rsid w:val="00626DF8"/>
    <w:rsid w:val="00627D4F"/>
    <w:rsid w:val="006332B3"/>
    <w:rsid w:val="0064294F"/>
    <w:rsid w:val="00652F82"/>
    <w:rsid w:val="0066227C"/>
    <w:rsid w:val="006E4AB1"/>
    <w:rsid w:val="006F7952"/>
    <w:rsid w:val="00726B04"/>
    <w:rsid w:val="0072786B"/>
    <w:rsid w:val="007305FA"/>
    <w:rsid w:val="0073098B"/>
    <w:rsid w:val="00736F14"/>
    <w:rsid w:val="00767982"/>
    <w:rsid w:val="007A4940"/>
    <w:rsid w:val="007C6942"/>
    <w:rsid w:val="007D4FEC"/>
    <w:rsid w:val="007D6FDF"/>
    <w:rsid w:val="00815161"/>
    <w:rsid w:val="008508E8"/>
    <w:rsid w:val="00853D4C"/>
    <w:rsid w:val="00870CD2"/>
    <w:rsid w:val="00872B90"/>
    <w:rsid w:val="0088297B"/>
    <w:rsid w:val="00887671"/>
    <w:rsid w:val="00890528"/>
    <w:rsid w:val="008B375F"/>
    <w:rsid w:val="008D380B"/>
    <w:rsid w:val="008D457C"/>
    <w:rsid w:val="008E0931"/>
    <w:rsid w:val="008E1930"/>
    <w:rsid w:val="00914D86"/>
    <w:rsid w:val="009727E1"/>
    <w:rsid w:val="00974B8D"/>
    <w:rsid w:val="00984B5B"/>
    <w:rsid w:val="0098727F"/>
    <w:rsid w:val="00996100"/>
    <w:rsid w:val="009A7AFD"/>
    <w:rsid w:val="009A7DDB"/>
    <w:rsid w:val="009E108F"/>
    <w:rsid w:val="009E1F76"/>
    <w:rsid w:val="00A61A56"/>
    <w:rsid w:val="00A70E42"/>
    <w:rsid w:val="00A72967"/>
    <w:rsid w:val="00A7656F"/>
    <w:rsid w:val="00A8022D"/>
    <w:rsid w:val="00A94DDD"/>
    <w:rsid w:val="00AA2731"/>
    <w:rsid w:val="00AF4DD9"/>
    <w:rsid w:val="00B03790"/>
    <w:rsid w:val="00B2390C"/>
    <w:rsid w:val="00B41BC0"/>
    <w:rsid w:val="00B44983"/>
    <w:rsid w:val="00B46ABB"/>
    <w:rsid w:val="00B90C37"/>
    <w:rsid w:val="00BD43D8"/>
    <w:rsid w:val="00C035E4"/>
    <w:rsid w:val="00C952AD"/>
    <w:rsid w:val="00C95317"/>
    <w:rsid w:val="00CA509E"/>
    <w:rsid w:val="00CC5DE6"/>
    <w:rsid w:val="00D14948"/>
    <w:rsid w:val="00D176C8"/>
    <w:rsid w:val="00D2144F"/>
    <w:rsid w:val="00D268B5"/>
    <w:rsid w:val="00D47B82"/>
    <w:rsid w:val="00D65EF4"/>
    <w:rsid w:val="00D7123D"/>
    <w:rsid w:val="00D904A4"/>
    <w:rsid w:val="00D9469E"/>
    <w:rsid w:val="00D96014"/>
    <w:rsid w:val="00DA35E7"/>
    <w:rsid w:val="00DC1FA7"/>
    <w:rsid w:val="00DC3C1B"/>
    <w:rsid w:val="00DD6E84"/>
    <w:rsid w:val="00DD7DE3"/>
    <w:rsid w:val="00DE4230"/>
    <w:rsid w:val="00E1192A"/>
    <w:rsid w:val="00E6779E"/>
    <w:rsid w:val="00E74AD7"/>
    <w:rsid w:val="00E7540F"/>
    <w:rsid w:val="00E76E12"/>
    <w:rsid w:val="00EA21DF"/>
    <w:rsid w:val="00EB04E9"/>
    <w:rsid w:val="00ED0640"/>
    <w:rsid w:val="00ED273A"/>
    <w:rsid w:val="00F01E15"/>
    <w:rsid w:val="00F0228D"/>
    <w:rsid w:val="00F05911"/>
    <w:rsid w:val="00F1640E"/>
    <w:rsid w:val="00F17887"/>
    <w:rsid w:val="00F361A0"/>
    <w:rsid w:val="00F54BAE"/>
    <w:rsid w:val="00F625E9"/>
    <w:rsid w:val="00F95BA1"/>
    <w:rsid w:val="00FB1476"/>
    <w:rsid w:val="00FB193D"/>
    <w:rsid w:val="00FB4F75"/>
    <w:rsid w:val="00FC174B"/>
    <w:rsid w:val="00FC37E7"/>
    <w:rsid w:val="00FC42AE"/>
    <w:rsid w:val="00FD11C4"/>
    <w:rsid w:val="00FD720F"/>
    <w:rsid w:val="00FE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9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494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A2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309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4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DD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712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123D"/>
  </w:style>
  <w:style w:type="paragraph" w:styleId="Footer">
    <w:name w:val="footer"/>
    <w:basedOn w:val="Normal"/>
    <w:link w:val="FooterChar"/>
    <w:uiPriority w:val="99"/>
    <w:unhideWhenUsed/>
    <w:rsid w:val="00D712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2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9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494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A2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309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4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DD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712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123D"/>
  </w:style>
  <w:style w:type="paragraph" w:styleId="Footer">
    <w:name w:val="footer"/>
    <w:basedOn w:val="Normal"/>
    <w:link w:val="FooterChar"/>
    <w:uiPriority w:val="99"/>
    <w:unhideWhenUsed/>
    <w:rsid w:val="00D712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2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21B8F318-BA89-442B-BE85-08FC9F7C5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Dinas ESDM Jambi</dc:creator>
  <cp:lastModifiedBy>Dinas ESDM Jambi</cp:lastModifiedBy>
  <cp:revision>2</cp:revision>
  <cp:lastPrinted>2017-11-21T01:36:00Z</cp:lastPrinted>
  <dcterms:created xsi:type="dcterms:W3CDTF">2018-12-05T01:39:00Z</dcterms:created>
  <dcterms:modified xsi:type="dcterms:W3CDTF">2018-12-05T01:39:00Z</dcterms:modified>
</cp:coreProperties>
</file>